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008375" w14:textId="20EC9D45" w:rsidR="004361B1" w:rsidRPr="00E15B53" w:rsidRDefault="004361B1" w:rsidP="004361B1">
      <w:pPr>
        <w:pStyle w:val="Heading1"/>
        <w:ind w:right="545"/>
        <w:rPr>
          <w:color w:val="2E74B5" w:themeColor="accent5" w:themeShade="BF"/>
        </w:rPr>
      </w:pPr>
      <w:r>
        <w:rPr>
          <w:color w:val="2E74B5" w:themeColor="accent5" w:themeShade="BF"/>
        </w:rPr>
        <w:t>Tema 10 del orden del día:  Grupo de Trabajo de la Junta Directiva y el GAC para la Implementación de la Revisión (BGRI)</w:t>
      </w:r>
    </w:p>
    <w:p w14:paraId="6F7711BB" w14:textId="0A2CDF52" w:rsidR="00C365F8" w:rsidRPr="00C365F8" w:rsidRDefault="00C365F8" w:rsidP="00EA4C85">
      <w:pPr>
        <w:pStyle w:val="Heading2"/>
        <w:rPr>
          <w:b w:val="0"/>
          <w:sz w:val="20"/>
          <w:szCs w:val="20"/>
        </w:rPr>
      </w:pPr>
      <w:r>
        <w:rPr>
          <w:sz w:val="20"/>
          <w:szCs w:val="20"/>
        </w:rPr>
        <w:t xml:space="preserve">Nota: </w:t>
      </w:r>
      <w:r>
        <w:rPr>
          <w:b w:val="0"/>
          <w:color w:val="000000" w:themeColor="text1"/>
          <w:sz w:val="20"/>
          <w:szCs w:val="20"/>
        </w:rPr>
        <w:t>el presente documento informativo ha sido elaborado por el personal de apoyo de la ICANN.</w:t>
      </w:r>
    </w:p>
    <w:p w14:paraId="0A7735AC" w14:textId="77777777" w:rsidR="00C365F8" w:rsidRPr="00493D41" w:rsidRDefault="00C365F8" w:rsidP="00C365F8">
      <w:pPr>
        <w:pStyle w:val="BodyText"/>
        <w:rPr>
          <w:lang w:val="es-419"/>
        </w:rPr>
      </w:pPr>
    </w:p>
    <w:p w14:paraId="3E153AFD" w14:textId="22C4B596" w:rsidR="00EA4C85" w:rsidRPr="00EA4C85" w:rsidRDefault="004361B1" w:rsidP="00EA4C85">
      <w:pPr>
        <w:pStyle w:val="Heading2"/>
      </w:pPr>
      <w:r>
        <w:t>Tema:</w:t>
      </w:r>
    </w:p>
    <w:p w14:paraId="2FEB9F26" w14:textId="3C088949" w:rsidR="00EA4C85" w:rsidRPr="00C365F8" w:rsidRDefault="00E15B53" w:rsidP="00533EC9">
      <w:pPr>
        <w:pStyle w:val="Heading2"/>
        <w:rPr>
          <w:b w:val="0"/>
          <w:color w:val="000000" w:themeColor="text1"/>
          <w:sz w:val="20"/>
          <w:szCs w:val="20"/>
        </w:rPr>
      </w:pPr>
      <w:r>
        <w:tab/>
      </w:r>
      <w:r>
        <w:br/>
      </w:r>
      <w:r>
        <w:rPr>
          <w:b w:val="0"/>
          <w:color w:val="000000" w:themeColor="text1"/>
          <w:sz w:val="20"/>
          <w:szCs w:val="20"/>
        </w:rPr>
        <w:t>Los esfuerzos para mejorar el procesamiento y el seguimiento del asesoramiento del GAC han sido un enfoque subyacente de la Junta y el GAC durante algún tiempo.  El GAC ha materializado mejoras en sus métodos de trabajo y los esfuerzos por mejorar los procesos entre el GAC y la Junta de la ICANN han progresado durante los últimos años.</w:t>
      </w:r>
    </w:p>
    <w:p w14:paraId="2E879282" w14:textId="77777777" w:rsidR="00533EC9" w:rsidRPr="00493D41" w:rsidRDefault="00533EC9" w:rsidP="00533EC9">
      <w:pPr>
        <w:pStyle w:val="BodyText"/>
        <w:rPr>
          <w:sz w:val="20"/>
          <w:szCs w:val="20"/>
          <w:lang w:val="es-419"/>
        </w:rPr>
      </w:pPr>
    </w:p>
    <w:p w14:paraId="4C4C6784" w14:textId="48520062" w:rsidR="00533EC9" w:rsidRPr="00C365F8" w:rsidRDefault="00E6612A" w:rsidP="00533EC9">
      <w:pPr>
        <w:pStyle w:val="BodyText"/>
        <w:spacing w:after="0" w:line="276" w:lineRule="auto"/>
        <w:rPr>
          <w:rFonts w:ascii="Century Gothic" w:hAnsi="Century Gothic"/>
          <w:color w:val="000000" w:themeColor="text1"/>
          <w:sz w:val="20"/>
          <w:szCs w:val="20"/>
        </w:rPr>
      </w:pPr>
      <w:r>
        <w:rPr>
          <w:rFonts w:ascii="Century Gothic" w:hAnsi="Century Gothic"/>
          <w:color w:val="000000" w:themeColor="text1"/>
          <w:sz w:val="20"/>
          <w:szCs w:val="20"/>
        </w:rPr>
        <w:t>Originado en el año 2011 para abordar las recomendaciones del primer Equipo de Revisión sobre Responsabilidad y Transparencia (ATRT), el Grupo de Trabajo de la Junta y el GAC para la Implementación de la Revisión (BGRI) ha demostrado ser una vía útil para el diálogo periódico entre los miembros del GAC y la Junta.  Hasta la fecha, el trabajo ha mejorado la recepción, la consideración, el procesamiento y el seguimiento del asesoramiento del GAC por parte de la Junta de la ICANN. Las cuestiones sobre las que se entablan discusiones en el BGRI han variado desde la definición real del asesoramiento del GAC hasta el intercambio de información entre las dos entidades, hasta el apoyo de la Secretaría del GAC y la enmienda de los Principios Operativos del GAC, entre muchos otros temas.</w:t>
      </w:r>
    </w:p>
    <w:p w14:paraId="0CE590DD" w14:textId="77777777" w:rsidR="00533EC9" w:rsidRPr="00493D41" w:rsidRDefault="00533EC9" w:rsidP="000F5DA7">
      <w:pPr>
        <w:pStyle w:val="BodyText"/>
        <w:spacing w:line="276" w:lineRule="auto"/>
        <w:rPr>
          <w:rFonts w:ascii="Century Gothic" w:hAnsi="Century Gothic"/>
          <w:color w:val="000000" w:themeColor="text1"/>
          <w:sz w:val="20"/>
          <w:szCs w:val="20"/>
          <w:lang w:val="es-419"/>
        </w:rPr>
      </w:pPr>
    </w:p>
    <w:p w14:paraId="07E0330C" w14:textId="2A2C10EA" w:rsidR="00533EC9" w:rsidRPr="00C365F8" w:rsidRDefault="00533EC9" w:rsidP="00533EC9">
      <w:pPr>
        <w:pStyle w:val="BodyText"/>
        <w:spacing w:after="0" w:line="276" w:lineRule="auto"/>
        <w:rPr>
          <w:rFonts w:ascii="Century Gothic" w:hAnsi="Century Gothic"/>
          <w:color w:val="000000" w:themeColor="text1"/>
          <w:sz w:val="20"/>
          <w:szCs w:val="20"/>
        </w:rPr>
      </w:pPr>
      <w:r>
        <w:rPr>
          <w:rFonts w:ascii="Century Gothic" w:hAnsi="Century Gothic"/>
          <w:color w:val="000000" w:themeColor="text1"/>
          <w:sz w:val="20"/>
          <w:szCs w:val="20"/>
        </w:rPr>
        <w:t>Más recientemente, el liderazgo del GAC y los miembros de la Junta han utilizado al BGRI como una vía útil para discusiones operativas y evaluaciones de aspectos estratégicos de su relación laboral.</w:t>
      </w:r>
    </w:p>
    <w:p w14:paraId="3AD58F69" w14:textId="77777777" w:rsidR="00EA4C85" w:rsidRPr="00493D41" w:rsidRDefault="00EA4C85" w:rsidP="00EA4C85">
      <w:pPr>
        <w:pStyle w:val="BodyText"/>
        <w:rPr>
          <w:rFonts w:ascii="Century Gothic" w:hAnsi="Century Gothic"/>
          <w:color w:val="000000" w:themeColor="text1"/>
          <w:sz w:val="20"/>
          <w:szCs w:val="20"/>
          <w:lang w:val="es-419"/>
        </w:rPr>
      </w:pPr>
    </w:p>
    <w:p w14:paraId="4E860E82" w14:textId="5D67D87C" w:rsidR="004361B1" w:rsidRDefault="004361B1" w:rsidP="00EA4C85">
      <w:pPr>
        <w:pStyle w:val="Heading2"/>
      </w:pPr>
      <w:r>
        <w:t>Acción del GAC requerida:</w:t>
      </w:r>
    </w:p>
    <w:p w14:paraId="4E41603B" w14:textId="77777777" w:rsidR="004134C7" w:rsidRPr="00493D41" w:rsidRDefault="004134C7" w:rsidP="004134C7">
      <w:pPr>
        <w:pStyle w:val="BodyText"/>
        <w:rPr>
          <w:lang w:val="es-419"/>
        </w:rPr>
      </w:pPr>
    </w:p>
    <w:p w14:paraId="3D15A20F" w14:textId="10D67A81" w:rsidR="004134C7" w:rsidRPr="00C365F8" w:rsidRDefault="004134C7" w:rsidP="004134C7">
      <w:pPr>
        <w:pStyle w:val="BodyText"/>
        <w:rPr>
          <w:rFonts w:ascii="Century Gothic" w:hAnsi="Century Gothic"/>
          <w:sz w:val="20"/>
          <w:szCs w:val="20"/>
        </w:rPr>
      </w:pPr>
      <w:r>
        <w:rPr>
          <w:rFonts w:ascii="Century Gothic" w:hAnsi="Century Gothic"/>
          <w:sz w:val="20"/>
          <w:szCs w:val="20"/>
        </w:rPr>
        <w:t>El trabajo sobre las mejoras aún no ha terminado y hay más cuestiones por explorar entre estos dos importantes grupos de la ICANN.</w:t>
      </w:r>
    </w:p>
    <w:p w14:paraId="4CAB09DD" w14:textId="77777777" w:rsidR="000A353D" w:rsidRPr="00493D41" w:rsidRDefault="000A353D" w:rsidP="004361B1">
      <w:pPr>
        <w:pStyle w:val="BodyText"/>
        <w:rPr>
          <w:lang w:val="es-419"/>
        </w:rPr>
      </w:pPr>
    </w:p>
    <w:p w14:paraId="544559DF" w14:textId="75B51315" w:rsidR="004361B1" w:rsidRDefault="004361B1" w:rsidP="00EA4C85">
      <w:pPr>
        <w:pStyle w:val="Heading2"/>
      </w:pPr>
      <w:r>
        <w:t>Posición actual:</w:t>
      </w:r>
    </w:p>
    <w:p w14:paraId="0B893029" w14:textId="77777777" w:rsidR="00F42B96" w:rsidRPr="00493D41" w:rsidRDefault="00F42B96" w:rsidP="00F42B96">
      <w:pPr>
        <w:pStyle w:val="BodyText"/>
        <w:rPr>
          <w:lang w:val="es-419"/>
        </w:rPr>
      </w:pPr>
    </w:p>
    <w:p w14:paraId="29095243" w14:textId="0B0FE023" w:rsidR="00F42B96" w:rsidRPr="00C365F8" w:rsidRDefault="00F42B96" w:rsidP="00F42B96">
      <w:pPr>
        <w:pStyle w:val="BodyText"/>
        <w:rPr>
          <w:rFonts w:ascii="Century Gothic" w:hAnsi="Century Gothic"/>
          <w:sz w:val="20"/>
          <w:szCs w:val="20"/>
        </w:rPr>
      </w:pPr>
      <w:r>
        <w:rPr>
          <w:rFonts w:ascii="Century Gothic" w:hAnsi="Century Gothic"/>
          <w:sz w:val="20"/>
          <w:szCs w:val="20"/>
        </w:rPr>
        <w:t>Si bien aún se están elaborando, los temas del orden del día en discusión para esta sesión actualmente incluyen los siguientes asuntos:</w:t>
      </w:r>
    </w:p>
    <w:p w14:paraId="46A80EFA" w14:textId="77777777" w:rsidR="007074E5" w:rsidRPr="00493D41" w:rsidRDefault="007074E5" w:rsidP="00F42B96">
      <w:pPr>
        <w:pStyle w:val="BodyText"/>
        <w:rPr>
          <w:rFonts w:ascii="Century Gothic" w:hAnsi="Century Gothic"/>
          <w:sz w:val="20"/>
          <w:szCs w:val="20"/>
          <w:lang w:val="es-419"/>
        </w:rPr>
      </w:pPr>
    </w:p>
    <w:p w14:paraId="70D5FB6A" w14:textId="77777777" w:rsidR="00533EC9" w:rsidRPr="00C365F8" w:rsidRDefault="00533EC9" w:rsidP="00533EC9">
      <w:pPr>
        <w:pStyle w:val="BodyText"/>
        <w:ind w:left="720"/>
        <w:rPr>
          <w:rFonts w:ascii="Century Gothic" w:hAnsi="Century Gothic"/>
          <w:sz w:val="20"/>
          <w:szCs w:val="20"/>
        </w:rPr>
      </w:pPr>
      <w:r>
        <w:rPr>
          <w:rFonts w:ascii="Century Gothic" w:hAnsi="Century Gothic"/>
          <w:sz w:val="20"/>
          <w:szCs w:val="20"/>
        </w:rPr>
        <w:lastRenderedPageBreak/>
        <w:t>1.  Registro de Solicitudes de Acción</w:t>
      </w:r>
    </w:p>
    <w:p w14:paraId="5C1AF7B5" w14:textId="77777777" w:rsidR="00533EC9" w:rsidRPr="00C365F8" w:rsidRDefault="00533EC9" w:rsidP="00533EC9">
      <w:pPr>
        <w:pStyle w:val="BodyText"/>
        <w:ind w:left="1440"/>
        <w:rPr>
          <w:rFonts w:ascii="Century Gothic" w:hAnsi="Century Gothic"/>
          <w:sz w:val="20"/>
          <w:szCs w:val="20"/>
        </w:rPr>
      </w:pPr>
      <w:r>
        <w:rPr>
          <w:rFonts w:ascii="Century Gothic" w:hAnsi="Century Gothic"/>
          <w:sz w:val="20"/>
          <w:szCs w:val="20"/>
        </w:rPr>
        <w:t>a.  Estado y próximos pasos</w:t>
      </w:r>
    </w:p>
    <w:p w14:paraId="119DD1AB" w14:textId="77777777" w:rsidR="00533EC9" w:rsidRPr="00C365F8" w:rsidRDefault="00533EC9" w:rsidP="00533EC9">
      <w:pPr>
        <w:pStyle w:val="BodyText"/>
        <w:ind w:left="1440"/>
        <w:rPr>
          <w:rFonts w:ascii="Century Gothic" w:hAnsi="Century Gothic"/>
          <w:sz w:val="20"/>
          <w:szCs w:val="20"/>
        </w:rPr>
      </w:pPr>
      <w:r>
        <w:rPr>
          <w:rFonts w:ascii="Century Gothic" w:hAnsi="Century Gothic"/>
          <w:sz w:val="20"/>
          <w:szCs w:val="20"/>
        </w:rPr>
        <w:t xml:space="preserve">b.  Consideración de asesoramiento histórico (antes de Pekín) y posiblemente otras categorías (por ejemplo, ¿principios del GAC sobre </w:t>
      </w:r>
      <w:proofErr w:type="spellStart"/>
      <w:r>
        <w:rPr>
          <w:rFonts w:ascii="Century Gothic" w:hAnsi="Century Gothic"/>
          <w:sz w:val="20"/>
          <w:szCs w:val="20"/>
        </w:rPr>
        <w:t>ccTLD</w:t>
      </w:r>
      <w:proofErr w:type="spellEnd"/>
      <w:r>
        <w:rPr>
          <w:rFonts w:ascii="Century Gothic" w:hAnsi="Century Gothic"/>
          <w:sz w:val="20"/>
          <w:szCs w:val="20"/>
        </w:rPr>
        <w:t xml:space="preserve"> o nuevos </w:t>
      </w:r>
      <w:proofErr w:type="spellStart"/>
      <w:r>
        <w:rPr>
          <w:rFonts w:ascii="Century Gothic" w:hAnsi="Century Gothic"/>
          <w:sz w:val="20"/>
          <w:szCs w:val="20"/>
        </w:rPr>
        <w:t>gTLD</w:t>
      </w:r>
      <w:proofErr w:type="spellEnd"/>
      <w:r>
        <w:rPr>
          <w:rFonts w:ascii="Century Gothic" w:hAnsi="Century Gothic"/>
          <w:sz w:val="20"/>
          <w:szCs w:val="20"/>
        </w:rPr>
        <w:t>?)</w:t>
      </w:r>
    </w:p>
    <w:p w14:paraId="6E814AB6" w14:textId="77777777" w:rsidR="00533EC9" w:rsidRPr="00C365F8" w:rsidRDefault="00533EC9" w:rsidP="00533EC9">
      <w:pPr>
        <w:pStyle w:val="BodyText"/>
        <w:ind w:left="720"/>
        <w:rPr>
          <w:rFonts w:ascii="Century Gothic" w:hAnsi="Century Gothic"/>
          <w:sz w:val="20"/>
          <w:szCs w:val="20"/>
        </w:rPr>
      </w:pPr>
      <w:r>
        <w:rPr>
          <w:rFonts w:ascii="Century Gothic" w:hAnsi="Century Gothic"/>
          <w:sz w:val="20"/>
          <w:szCs w:val="20"/>
        </w:rPr>
        <w:t>2.  Seguimiento de información web de 2 caracteres (Actualización del Equipo de Gestión de Productos de la ICANN)</w:t>
      </w:r>
    </w:p>
    <w:p w14:paraId="413C8410" w14:textId="77777777" w:rsidR="00533EC9" w:rsidRPr="00C365F8" w:rsidRDefault="00533EC9" w:rsidP="00533EC9">
      <w:pPr>
        <w:pStyle w:val="BodyText"/>
        <w:rPr>
          <w:rFonts w:ascii="Century Gothic" w:hAnsi="Century Gothic"/>
          <w:sz w:val="20"/>
          <w:szCs w:val="20"/>
        </w:rPr>
      </w:pPr>
    </w:p>
    <w:p w14:paraId="49A33DEB" w14:textId="45C017FD" w:rsidR="00533EC9" w:rsidRPr="00C365F8" w:rsidRDefault="00533EC9" w:rsidP="00533EC9">
      <w:pPr>
        <w:pStyle w:val="BodyText"/>
        <w:rPr>
          <w:rFonts w:ascii="Century Gothic" w:hAnsi="Century Gothic"/>
          <w:sz w:val="20"/>
          <w:szCs w:val="20"/>
        </w:rPr>
      </w:pPr>
      <w:r>
        <w:rPr>
          <w:rFonts w:ascii="Century Gothic" w:hAnsi="Century Gothic"/>
          <w:sz w:val="20"/>
          <w:szCs w:val="20"/>
        </w:rPr>
        <w:t>Se realizarán actualizaciones a medida que este orden del día evolucione antes de la reunión ICANN62.</w:t>
      </w:r>
    </w:p>
    <w:p w14:paraId="7D92772E" w14:textId="77777777" w:rsidR="00533EC9" w:rsidRPr="00533EC9" w:rsidRDefault="00533EC9" w:rsidP="00533EC9">
      <w:pPr>
        <w:pStyle w:val="BodyText"/>
        <w:rPr>
          <w:rFonts w:ascii="Century Gothic" w:hAnsi="Century Gothic"/>
        </w:rPr>
      </w:pPr>
    </w:p>
    <w:p w14:paraId="50295ED3" w14:textId="583D1093" w:rsidR="00E15B53" w:rsidRDefault="004361B1" w:rsidP="00EA4C85">
      <w:pPr>
        <w:pStyle w:val="Heading2"/>
      </w:pPr>
      <w:r>
        <w:t>Más información de referencia/detalles:</w:t>
      </w:r>
    </w:p>
    <w:p w14:paraId="4FFE7001" w14:textId="77777777" w:rsidR="00EA4C85" w:rsidRPr="00493D41" w:rsidRDefault="00EA4C85" w:rsidP="00EA4C85">
      <w:pPr>
        <w:pStyle w:val="BodyText"/>
        <w:rPr>
          <w:lang w:val="es-419"/>
        </w:rPr>
      </w:pPr>
    </w:p>
    <w:p w14:paraId="1041C00F" w14:textId="3C5F3A36" w:rsidR="00603893" w:rsidRPr="00C365F8" w:rsidRDefault="00E15B53" w:rsidP="00EA4C85">
      <w:pPr>
        <w:pStyle w:val="Heading2"/>
        <w:rPr>
          <w:b w:val="0"/>
          <w:sz w:val="20"/>
          <w:szCs w:val="20"/>
        </w:rPr>
      </w:pPr>
      <w:r>
        <w:rPr>
          <w:b w:val="0"/>
          <w:color w:val="000000" w:themeColor="text1"/>
          <w:sz w:val="20"/>
          <w:szCs w:val="20"/>
        </w:rPr>
        <w:t xml:space="preserve">El Grupo de Trabajo del GAC y la Junta Directiva para la Implementación de Recomendaciones (BGRI-WG) </w:t>
      </w:r>
      <w:r>
        <w:rPr>
          <w:b w:val="0"/>
          <w:sz w:val="20"/>
          <w:szCs w:val="20"/>
        </w:rPr>
        <w:t>(</w:t>
      </w:r>
      <w:hyperlink r:id="rId7" w:tgtFrame="_blank" w:history="1">
        <w:r>
          <w:rPr>
            <w:rStyle w:val="Hyperlink"/>
            <w:b w:val="0"/>
            <w:color w:val="034990" w:themeColor="hyperlink" w:themeShade="BF"/>
            <w:sz w:val="20"/>
            <w:szCs w:val="20"/>
          </w:rPr>
          <w:t>https://www.icann.org/resources/pages/board-gac-2011-2012-02-28-en</w:t>
        </w:r>
      </w:hyperlink>
      <w:r>
        <w:rPr>
          <w:b w:val="0"/>
          <w:sz w:val="20"/>
          <w:szCs w:val="20"/>
        </w:rPr>
        <w:t>) </w:t>
      </w:r>
      <w:r>
        <w:rPr>
          <w:b w:val="0"/>
          <w:color w:val="000000" w:themeColor="text1"/>
          <w:sz w:val="20"/>
          <w:szCs w:val="20"/>
        </w:rPr>
        <w:t xml:space="preserve">se creó originalmente para implementar las recomendaciones relacionadas con el GAC del primer Equipo de Revisión sobre Responsabilidad y Transparencia (ATRT1), </w:t>
      </w:r>
      <w:hyperlink r:id="rId8" w:tgtFrame="_blank" w:history="1">
        <w:r>
          <w:rPr>
            <w:rStyle w:val="Hyperlink"/>
            <w:b w:val="0"/>
            <w:color w:val="034990" w:themeColor="hyperlink" w:themeShade="BF"/>
            <w:sz w:val="20"/>
            <w:szCs w:val="20"/>
          </w:rPr>
          <w:t>https://www.icann.org/resources/reviews/specific-reviews/atrt</w:t>
        </w:r>
      </w:hyperlink>
      <w:r>
        <w:rPr>
          <w:b w:val="0"/>
          <w:sz w:val="20"/>
          <w:szCs w:val="20"/>
        </w:rPr>
        <w:t xml:space="preserve">.  </w:t>
      </w:r>
    </w:p>
    <w:p w14:paraId="35E16029" w14:textId="77777777" w:rsidR="00603893" w:rsidRPr="00C365F8" w:rsidRDefault="00603893" w:rsidP="00EA4C85">
      <w:pPr>
        <w:pStyle w:val="Heading2"/>
        <w:rPr>
          <w:b w:val="0"/>
          <w:sz w:val="20"/>
          <w:szCs w:val="20"/>
        </w:rPr>
      </w:pPr>
    </w:p>
    <w:p w14:paraId="48596282" w14:textId="1911DABB" w:rsidR="006B0F0E" w:rsidRPr="00C365F8" w:rsidRDefault="00E15B53" w:rsidP="006B0F0E">
      <w:pPr>
        <w:rPr>
          <w:rFonts w:ascii="Century Gothic" w:hAnsi="Century Gothic"/>
          <w:sz w:val="20"/>
          <w:szCs w:val="20"/>
        </w:rPr>
      </w:pPr>
      <w:r>
        <w:rPr>
          <w:rFonts w:ascii="Century Gothic" w:hAnsi="Century Gothic"/>
          <w:sz w:val="20"/>
          <w:szCs w:val="20"/>
        </w:rPr>
        <w:t xml:space="preserve">Luego, se amplió el mandato del BGRI para implementar las recomendaciones relacionadas con el GAC del </w:t>
      </w:r>
      <w:r>
        <w:rPr>
          <w:rFonts w:ascii="Century Gothic" w:hAnsi="Century Gothic"/>
          <w:color w:val="000000" w:themeColor="text1"/>
          <w:sz w:val="20"/>
          <w:szCs w:val="20"/>
        </w:rPr>
        <w:t>segundo Equipo de Revisión sobre Responsabilidad y Transparencia, (ATRT2), </w:t>
      </w:r>
      <w:hyperlink r:id="rId9" w:tgtFrame="_blank" w:history="1">
        <w:r>
          <w:rPr>
            <w:rStyle w:val="Hyperlink"/>
            <w:rFonts w:ascii="Century Gothic" w:hAnsi="Century Gothic"/>
            <w:sz w:val="20"/>
            <w:szCs w:val="20"/>
          </w:rPr>
          <w:t>https://www.icann.org/resources/reviews/specific-reviews/atrt</w:t>
        </w:r>
      </w:hyperlink>
      <w:r>
        <w:rPr>
          <w:rFonts w:ascii="Century Gothic" w:hAnsi="Century Gothic"/>
          <w:color w:val="000000" w:themeColor="text1"/>
          <w:sz w:val="20"/>
          <w:szCs w:val="20"/>
        </w:rPr>
        <w:t>;</w:t>
      </w:r>
      <w:r>
        <w:rPr>
          <w:rFonts w:ascii="Century Gothic" w:hAnsi="Century Gothic"/>
          <w:sz w:val="20"/>
          <w:szCs w:val="20"/>
        </w:rPr>
        <w:t xml:space="preserve">  </w:t>
      </w:r>
    </w:p>
    <w:p w14:paraId="2E6114EA" w14:textId="77777777" w:rsidR="006B0F0E" w:rsidRPr="00C365F8" w:rsidRDefault="006B0F0E" w:rsidP="006B0F0E">
      <w:pPr>
        <w:rPr>
          <w:rFonts w:ascii="Century Gothic" w:hAnsi="Century Gothic"/>
          <w:sz w:val="20"/>
          <w:szCs w:val="20"/>
        </w:rPr>
      </w:pPr>
    </w:p>
    <w:p w14:paraId="3DD60B1B" w14:textId="0BF4378A" w:rsidR="006B0F0E" w:rsidRPr="00C365F8" w:rsidRDefault="006B0F0E" w:rsidP="006B0F0E">
      <w:pPr>
        <w:rPr>
          <w:rFonts w:ascii="Century Gothic" w:hAnsi="Century Gothic"/>
          <w:color w:val="0000D4"/>
          <w:sz w:val="20"/>
          <w:szCs w:val="20"/>
        </w:rPr>
      </w:pPr>
      <w:r>
        <w:rPr>
          <w:rFonts w:ascii="Century Gothic" w:hAnsi="Century Gothic"/>
          <w:sz w:val="20"/>
          <w:szCs w:val="20"/>
        </w:rPr>
        <w:t xml:space="preserve">Y véase el espacio Wiki de la implementación de la recomendación del </w:t>
      </w:r>
      <w:r>
        <w:rPr>
          <w:rFonts w:ascii="Century Gothic" w:hAnsi="Century Gothic"/>
          <w:color w:val="000000" w:themeColor="text1"/>
          <w:sz w:val="20"/>
          <w:szCs w:val="20"/>
        </w:rPr>
        <w:t>ATRT2 -</w:t>
      </w:r>
      <w:r>
        <w:rPr>
          <w:rFonts w:ascii="Century Gothic" w:hAnsi="Century Gothic"/>
          <w:color w:val="0000D4"/>
          <w:sz w:val="20"/>
          <w:szCs w:val="20"/>
          <w:u w:val="single"/>
        </w:rPr>
        <w:t xml:space="preserve"> </w:t>
      </w:r>
      <w:hyperlink r:id="rId10" w:history="1">
        <w:r>
          <w:rPr>
            <w:rStyle w:val="Hyperlink"/>
            <w:rFonts w:ascii="Century Gothic" w:hAnsi="Century Gothic"/>
            <w:sz w:val="20"/>
            <w:szCs w:val="20"/>
          </w:rPr>
          <w:t>https://community.icann.org/display/atrt/ATRT2+Implementation+Program</w:t>
        </w:r>
      </w:hyperlink>
      <w:r>
        <w:rPr>
          <w:rFonts w:ascii="Century Gothic" w:hAnsi="Century Gothic"/>
          <w:color w:val="0000D4"/>
          <w:sz w:val="20"/>
          <w:szCs w:val="20"/>
          <w:u w:val="single"/>
        </w:rPr>
        <w:t xml:space="preserve"> </w:t>
      </w:r>
      <w:r>
        <w:rPr>
          <w:rFonts w:ascii="Century Gothic" w:hAnsi="Century Gothic"/>
          <w:color w:val="0000D4"/>
          <w:sz w:val="20"/>
          <w:szCs w:val="20"/>
        </w:rPr>
        <w:t xml:space="preserve">- </w:t>
      </w:r>
      <w:r>
        <w:rPr>
          <w:rFonts w:ascii="Century Gothic" w:hAnsi="Century Gothic"/>
          <w:color w:val="000000" w:themeColor="text1"/>
          <w:sz w:val="20"/>
          <w:szCs w:val="20"/>
        </w:rPr>
        <w:t xml:space="preserve">véase la recomendación 6 de las recomendaciones del GAC </w:t>
      </w:r>
    </w:p>
    <w:p w14:paraId="05EAA68C" w14:textId="77777777" w:rsidR="004134C7" w:rsidRPr="00493D41" w:rsidRDefault="004134C7" w:rsidP="004134C7">
      <w:pPr>
        <w:pStyle w:val="BodyText"/>
        <w:rPr>
          <w:rFonts w:ascii="Century Gothic" w:hAnsi="Century Gothic"/>
          <w:lang w:val="es-419"/>
        </w:rPr>
      </w:pPr>
    </w:p>
    <w:p w14:paraId="302575BD" w14:textId="7C9A591B" w:rsidR="004134C7" w:rsidRPr="006B0F0E" w:rsidRDefault="006B0F0E" w:rsidP="004134C7">
      <w:pPr>
        <w:pStyle w:val="BodyText"/>
        <w:rPr>
          <w:rFonts w:ascii="Century Gothic" w:hAnsi="Century Gothic"/>
          <w:b/>
        </w:rPr>
      </w:pPr>
      <w:r>
        <w:rPr>
          <w:rFonts w:ascii="Century Gothic" w:hAnsi="Century Gothic"/>
          <w:b/>
        </w:rPr>
        <w:t>Otros enlaces útiles:</w:t>
      </w:r>
    </w:p>
    <w:p w14:paraId="4EB47880" w14:textId="7CDA0220" w:rsidR="004134C7" w:rsidRPr="00C365F8" w:rsidRDefault="004134C7" w:rsidP="004134C7">
      <w:pPr>
        <w:rPr>
          <w:rFonts w:ascii="Century Gothic" w:hAnsi="Century Gothic"/>
          <w:sz w:val="20"/>
          <w:szCs w:val="20"/>
        </w:rPr>
      </w:pPr>
      <w:r>
        <w:rPr>
          <w:rFonts w:ascii="Century Gothic" w:hAnsi="Century Gothic"/>
          <w:sz w:val="20"/>
          <w:szCs w:val="20"/>
        </w:rPr>
        <w:t>Recomendaciones finales del primer ATRT – 31 de diciembre de 2010:</w:t>
      </w:r>
    </w:p>
    <w:p w14:paraId="7C7FA4AE" w14:textId="77777777" w:rsidR="004134C7" w:rsidRPr="00C365F8" w:rsidRDefault="00153187" w:rsidP="004134C7">
      <w:pPr>
        <w:rPr>
          <w:rFonts w:ascii="Century Gothic" w:hAnsi="Century Gothic"/>
          <w:sz w:val="20"/>
          <w:szCs w:val="20"/>
        </w:rPr>
      </w:pPr>
      <w:hyperlink r:id="rId11" w:history="1">
        <w:r w:rsidR="00FF7C26">
          <w:rPr>
            <w:rFonts w:ascii="Century Gothic" w:hAnsi="Century Gothic"/>
            <w:color w:val="0000D4"/>
            <w:sz w:val="20"/>
            <w:szCs w:val="20"/>
            <w:u w:val="single"/>
          </w:rPr>
          <w:t xml:space="preserve">http://www.icann.org/en/reviews/affirmation/atrt-final-recommendations-31dec10-en.pdf </w:t>
        </w:r>
      </w:hyperlink>
    </w:p>
    <w:p w14:paraId="43736A0B" w14:textId="77777777" w:rsidR="004134C7" w:rsidRPr="00C365F8" w:rsidRDefault="004134C7" w:rsidP="004134C7">
      <w:pPr>
        <w:pStyle w:val="ListParagraph"/>
        <w:rPr>
          <w:rFonts w:ascii="Century Gothic" w:hAnsi="Century Gothic"/>
          <w:sz w:val="20"/>
          <w:szCs w:val="20"/>
          <w:lang w:bidi="ar-EG"/>
        </w:rPr>
      </w:pPr>
    </w:p>
    <w:p w14:paraId="47DDB3C7" w14:textId="5F405E6D" w:rsidR="004134C7" w:rsidRPr="00C365F8" w:rsidRDefault="00153187" w:rsidP="004134C7">
      <w:pPr>
        <w:rPr>
          <w:rFonts w:ascii="Century Gothic" w:hAnsi="Century Gothic"/>
          <w:sz w:val="20"/>
          <w:szCs w:val="20"/>
        </w:rPr>
      </w:pPr>
      <w:hyperlink r:id="rId12" w:history="1">
        <w:r w:rsidR="00FF7C26">
          <w:rPr>
            <w:rFonts w:ascii="Century Gothic" w:hAnsi="Century Gothic"/>
            <w:sz w:val="20"/>
            <w:szCs w:val="20"/>
          </w:rPr>
          <w:t xml:space="preserve">Informe Final del JWG de la Junta/el GAC – 19 de junio de 2011: </w:t>
        </w:r>
      </w:hyperlink>
    </w:p>
    <w:p w14:paraId="1F46A9D8" w14:textId="77777777" w:rsidR="004134C7" w:rsidRPr="00C365F8" w:rsidRDefault="00153187" w:rsidP="004134C7">
      <w:pPr>
        <w:rPr>
          <w:rFonts w:ascii="Century Gothic" w:hAnsi="Century Gothic"/>
          <w:color w:val="0000D4"/>
          <w:sz w:val="20"/>
          <w:szCs w:val="20"/>
          <w:u w:val="single"/>
        </w:rPr>
      </w:pPr>
      <w:hyperlink r:id="rId13" w:history="1">
        <w:r w:rsidR="00FF7C26">
          <w:rPr>
            <w:rFonts w:ascii="Century Gothic" w:hAnsi="Century Gothic"/>
            <w:color w:val="0000D4"/>
            <w:sz w:val="20"/>
            <w:szCs w:val="20"/>
            <w:u w:val="single"/>
          </w:rPr>
          <w:t xml:space="preserve">http://www.icann.org/en/committees/board-gac-2009/board-gac-jwg-final-report-19jun11-en.pdf </w:t>
        </w:r>
      </w:hyperlink>
    </w:p>
    <w:p w14:paraId="2027553B" w14:textId="77777777" w:rsidR="004134C7" w:rsidRPr="00C365F8" w:rsidRDefault="004134C7" w:rsidP="004134C7">
      <w:pPr>
        <w:rPr>
          <w:rFonts w:ascii="Century Gothic" w:hAnsi="Century Gothic"/>
          <w:color w:val="0000D4"/>
          <w:sz w:val="20"/>
          <w:szCs w:val="20"/>
          <w:u w:val="single"/>
        </w:rPr>
      </w:pPr>
    </w:p>
    <w:p w14:paraId="1FFD7AAC" w14:textId="5308AEAA" w:rsidR="004134C7" w:rsidRPr="00C365F8" w:rsidRDefault="006B0F0E" w:rsidP="004134C7">
      <w:pPr>
        <w:rPr>
          <w:rFonts w:ascii="Century Gothic" w:hAnsi="Century Gothic"/>
          <w:sz w:val="20"/>
          <w:szCs w:val="20"/>
        </w:rPr>
      </w:pPr>
      <w:r>
        <w:rPr>
          <w:rFonts w:ascii="Century Gothic" w:hAnsi="Century Gothic"/>
          <w:color w:val="000000" w:themeColor="text1"/>
          <w:sz w:val="20"/>
          <w:szCs w:val="20"/>
          <w:u w:val="single"/>
        </w:rPr>
        <w:t>Página de inicio del ATRT de la ICANN:</w:t>
      </w:r>
      <w:r>
        <w:rPr>
          <w:rFonts w:ascii="Century Gothic" w:hAnsi="Century Gothic"/>
          <w:color w:val="0000D4"/>
          <w:sz w:val="20"/>
          <w:szCs w:val="20"/>
          <w:u w:val="single"/>
        </w:rPr>
        <w:t xml:space="preserve"> </w:t>
      </w:r>
      <w:hyperlink r:id="rId14" w:history="1">
        <w:r>
          <w:rPr>
            <w:rStyle w:val="Hyperlink"/>
            <w:rFonts w:ascii="Century Gothic" w:hAnsi="Century Gothic"/>
            <w:sz w:val="20"/>
            <w:szCs w:val="20"/>
          </w:rPr>
          <w:t>https://www.icann.org/resources/accountability</w:t>
        </w:r>
      </w:hyperlink>
    </w:p>
    <w:p w14:paraId="38F89298" w14:textId="77777777" w:rsidR="004361B1" w:rsidRPr="00E06DE4" w:rsidRDefault="004361B1" w:rsidP="004361B1">
      <w:pPr>
        <w:pStyle w:val="BodyText"/>
        <w:ind w:right="545"/>
      </w:pPr>
    </w:p>
    <w:p w14:paraId="331C9076" w14:textId="77777777" w:rsidR="004361B1" w:rsidRDefault="004361B1" w:rsidP="00EA4C85">
      <w:pPr>
        <w:pStyle w:val="Heading2"/>
      </w:pPr>
      <w:bookmarkStart w:id="0" w:name="_Hlk484433727"/>
      <w:r>
        <w:t>Administración de la documentación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3"/>
        <w:gridCol w:w="5439"/>
      </w:tblGrid>
      <w:tr w:rsidR="004361B1" w:rsidRPr="003F43E3" w14:paraId="59EA12E9" w14:textId="77777777" w:rsidTr="00C365F8">
        <w:tc>
          <w:tcPr>
            <w:tcW w:w="3083" w:type="dxa"/>
            <w:vAlign w:val="center"/>
          </w:tcPr>
          <w:p w14:paraId="69DEBE08" w14:textId="77777777" w:rsidR="004361B1" w:rsidRPr="003F43E3" w:rsidRDefault="004361B1" w:rsidP="0012301E">
            <w:pPr>
              <w:ind w:right="-132"/>
              <w:rPr>
                <w:rFonts w:ascii="Century Gothic" w:eastAsiaTheme="minorEastAsia" w:hAnsi="Century Gothic" w:cstheme="minorBidi"/>
                <w:b/>
                <w:sz w:val="20"/>
                <w:szCs w:val="20"/>
              </w:rPr>
            </w:pPr>
            <w:r>
              <w:rPr>
                <w:rFonts w:ascii="Century Gothic" w:hAnsi="Century Gothic"/>
                <w:b/>
                <w:sz w:val="20"/>
                <w:szCs w:val="20"/>
              </w:rPr>
              <w:t>Título</w:t>
            </w:r>
          </w:p>
        </w:tc>
        <w:tc>
          <w:tcPr>
            <w:tcW w:w="5439" w:type="dxa"/>
            <w:vAlign w:val="center"/>
          </w:tcPr>
          <w:p w14:paraId="212D1778" w14:textId="307FE7AD" w:rsidR="004361B1" w:rsidRPr="00EA3A02" w:rsidRDefault="00C365F8" w:rsidP="003F39D5">
            <w:pPr>
              <w:ind w:right="545"/>
              <w:rPr>
                <w:rFonts w:ascii="Century Gothic" w:eastAsiaTheme="minorEastAsia" w:hAnsi="Century Gothic" w:cstheme="minorBidi"/>
                <w:sz w:val="20"/>
                <w:szCs w:val="20"/>
              </w:rPr>
            </w:pPr>
            <w:r>
              <w:rPr>
                <w:rFonts w:ascii="Century Gothic" w:hAnsi="Century Gothic"/>
                <w:sz w:val="20"/>
                <w:szCs w:val="20"/>
              </w:rPr>
              <w:t>BGRI</w:t>
            </w:r>
          </w:p>
        </w:tc>
      </w:tr>
      <w:tr w:rsidR="004361B1" w:rsidRPr="003F43E3" w14:paraId="6AC7363A" w14:textId="77777777" w:rsidTr="00C365F8">
        <w:tc>
          <w:tcPr>
            <w:tcW w:w="3083" w:type="dxa"/>
            <w:vAlign w:val="center"/>
          </w:tcPr>
          <w:p w14:paraId="3BD70AEF" w14:textId="77777777" w:rsidR="004361B1" w:rsidRPr="003F43E3" w:rsidRDefault="004361B1" w:rsidP="0012301E">
            <w:pPr>
              <w:ind w:right="-132"/>
              <w:rPr>
                <w:rFonts w:ascii="Century Gothic" w:eastAsiaTheme="minorEastAsia" w:hAnsi="Century Gothic" w:cstheme="minorBidi"/>
                <w:b/>
                <w:sz w:val="20"/>
                <w:szCs w:val="20"/>
              </w:rPr>
            </w:pPr>
            <w:r>
              <w:rPr>
                <w:rFonts w:ascii="Century Gothic" w:hAnsi="Century Gothic"/>
                <w:b/>
                <w:sz w:val="20"/>
                <w:szCs w:val="20"/>
              </w:rPr>
              <w:t>Distribución</w:t>
            </w:r>
          </w:p>
        </w:tc>
        <w:tc>
          <w:tcPr>
            <w:tcW w:w="5439" w:type="dxa"/>
            <w:vAlign w:val="center"/>
          </w:tcPr>
          <w:p w14:paraId="43CB56A1" w14:textId="77777777" w:rsidR="004361B1" w:rsidRPr="003F43E3" w:rsidRDefault="004361B1" w:rsidP="0012301E">
            <w:pPr>
              <w:ind w:right="545"/>
              <w:rPr>
                <w:rFonts w:ascii="Century Gothic" w:eastAsiaTheme="minorEastAsia" w:hAnsi="Century Gothic" w:cstheme="minorBidi"/>
                <w:sz w:val="20"/>
                <w:szCs w:val="20"/>
              </w:rPr>
            </w:pPr>
            <w:r>
              <w:rPr>
                <w:rFonts w:ascii="Century Gothic" w:hAnsi="Century Gothic"/>
                <w:sz w:val="20"/>
                <w:szCs w:val="20"/>
              </w:rPr>
              <w:t>Miembros del GAC</w:t>
            </w:r>
          </w:p>
        </w:tc>
      </w:tr>
      <w:tr w:rsidR="004361B1" w:rsidRPr="003F43E3" w14:paraId="10FBEF62" w14:textId="77777777" w:rsidTr="00C365F8">
        <w:tc>
          <w:tcPr>
            <w:tcW w:w="3083" w:type="dxa"/>
            <w:vAlign w:val="center"/>
          </w:tcPr>
          <w:p w14:paraId="777843CE" w14:textId="77777777" w:rsidR="004361B1" w:rsidRPr="003F43E3" w:rsidRDefault="004361B1" w:rsidP="0012301E">
            <w:pPr>
              <w:ind w:right="-132"/>
              <w:rPr>
                <w:rFonts w:ascii="Century Gothic" w:eastAsiaTheme="minorEastAsia" w:hAnsi="Century Gothic" w:cstheme="minorBidi"/>
                <w:b/>
                <w:sz w:val="20"/>
                <w:szCs w:val="20"/>
              </w:rPr>
            </w:pPr>
            <w:r>
              <w:rPr>
                <w:rFonts w:ascii="Century Gothic" w:hAnsi="Century Gothic"/>
                <w:b/>
                <w:sz w:val="20"/>
                <w:szCs w:val="20"/>
              </w:rPr>
              <w:t>Fecha de distribución</w:t>
            </w:r>
          </w:p>
        </w:tc>
        <w:tc>
          <w:tcPr>
            <w:tcW w:w="5439" w:type="dxa"/>
            <w:vAlign w:val="center"/>
          </w:tcPr>
          <w:p w14:paraId="5BCE3609" w14:textId="4350CD49" w:rsidR="004361B1" w:rsidRPr="003F43E3" w:rsidRDefault="005D3DAA" w:rsidP="00533EC9">
            <w:pPr>
              <w:ind w:right="545"/>
              <w:rPr>
                <w:rFonts w:ascii="Century Gothic" w:eastAsiaTheme="minorEastAsia" w:hAnsi="Century Gothic" w:cstheme="minorBidi"/>
                <w:sz w:val="20"/>
                <w:szCs w:val="20"/>
              </w:rPr>
            </w:pPr>
            <w:r>
              <w:rPr>
                <w:rFonts w:ascii="Century Gothic" w:hAnsi="Century Gothic"/>
                <w:sz w:val="20"/>
                <w:szCs w:val="20"/>
              </w:rPr>
              <w:t>7 de junio de 2018</w:t>
            </w:r>
          </w:p>
        </w:tc>
      </w:tr>
    </w:tbl>
    <w:p w14:paraId="2BF083B0" w14:textId="77777777" w:rsidR="004361B1" w:rsidRPr="004361B1" w:rsidRDefault="004361B1" w:rsidP="004361B1">
      <w:pPr>
        <w:pStyle w:val="BodyText"/>
        <w:rPr>
          <w:lang w:val="en-AU"/>
        </w:rPr>
      </w:pPr>
      <w:bookmarkStart w:id="1" w:name="_GoBack"/>
      <w:bookmarkEnd w:id="0"/>
      <w:bookmarkEnd w:id="1"/>
    </w:p>
    <w:sectPr w:rsidR="004361B1" w:rsidRPr="004361B1" w:rsidSect="0012301E">
      <w:headerReference w:type="default" r:id="rId15"/>
      <w:footerReference w:type="even" r:id="rId16"/>
      <w:footerReference w:type="default" r:id="rId17"/>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7CAA58" w14:textId="77777777" w:rsidR="00153187" w:rsidRDefault="00153187">
      <w:r>
        <w:separator/>
      </w:r>
    </w:p>
  </w:endnote>
  <w:endnote w:type="continuationSeparator" w:id="0">
    <w:p w14:paraId="771598F9" w14:textId="77777777" w:rsidR="00153187" w:rsidRDefault="00153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51C59" w14:textId="77777777" w:rsidR="0012301E" w:rsidRDefault="004361B1" w:rsidP="0012301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E8D6949" w14:textId="77777777" w:rsidR="0012301E" w:rsidRDefault="0012301E" w:rsidP="0012301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D4CA4A" w14:textId="77777777" w:rsidR="0012301E" w:rsidRDefault="004361B1" w:rsidP="0012301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5046">
      <w:rPr>
        <w:rStyle w:val="PageNumber"/>
      </w:rPr>
      <w:t>1</w:t>
    </w:r>
    <w:r>
      <w:rPr>
        <w:rStyle w:val="PageNumber"/>
      </w:rPr>
      <w:fldChar w:fldCharType="end"/>
    </w:r>
  </w:p>
  <w:p w14:paraId="28613BF2" w14:textId="77777777" w:rsidR="0012301E" w:rsidRDefault="0012301E" w:rsidP="0012301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15BD27" w14:textId="77777777" w:rsidR="00153187" w:rsidRDefault="00153187">
      <w:r>
        <w:separator/>
      </w:r>
    </w:p>
  </w:footnote>
  <w:footnote w:type="continuationSeparator" w:id="0">
    <w:p w14:paraId="3AC1F139" w14:textId="77777777" w:rsidR="00153187" w:rsidRDefault="001531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85B69B" w14:textId="77777777" w:rsidR="0012301E" w:rsidRDefault="004361B1">
    <w:pPr>
      <w:pStyle w:val="Header"/>
    </w:pPr>
    <w:r>
      <w:rPr>
        <w:rFonts w:asciiTheme="majorHAnsi" w:hAnsiTheme="majorHAnsi"/>
        <w:noProof/>
      </w:rPr>
      <w:drawing>
        <wp:anchor distT="0" distB="0" distL="114300" distR="114300" simplePos="0" relativeHeight="251659264" behindDoc="1" locked="0" layoutInCell="1" allowOverlap="1" wp14:anchorId="18902393" wp14:editId="6CB1868E">
          <wp:simplePos x="0" y="0"/>
          <wp:positionH relativeFrom="column">
            <wp:posOffset>2051367</wp:posOffset>
          </wp:positionH>
          <wp:positionV relativeFrom="paragraph">
            <wp:posOffset>-893127</wp:posOffset>
          </wp:positionV>
          <wp:extent cx="1363816" cy="2123953"/>
          <wp:effectExtent l="953" t="0" r="9207" b="0"/>
          <wp:wrapNone/>
          <wp:docPr id="2" name="Picture 2" descr="Macintosh HD:Users:julia.charvolen:Desktop:GAC:GAC website:GAC logo :GAC logo.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cintosh HD:Users:julia.charvolen:Desktop:GAC:GAC website:GAC logo :GAC logo.pd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1363816" cy="2123953"/>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850A3A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4B4799"/>
    <w:multiLevelType w:val="multilevel"/>
    <w:tmpl w:val="E1367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11D61E6"/>
    <w:multiLevelType w:val="multilevel"/>
    <w:tmpl w:val="203E4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0896B99"/>
    <w:multiLevelType w:val="hybridMultilevel"/>
    <w:tmpl w:val="1016842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44E6B09"/>
    <w:multiLevelType w:val="hybridMultilevel"/>
    <w:tmpl w:val="2E480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3E3F46"/>
    <w:multiLevelType w:val="hybridMultilevel"/>
    <w:tmpl w:val="46B28D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4348F7"/>
    <w:multiLevelType w:val="hybridMultilevel"/>
    <w:tmpl w:val="E00A97AC"/>
    <w:lvl w:ilvl="0" w:tplc="D248C3E0">
      <w:start w:val="1"/>
      <w:numFmt w:val="decimal"/>
      <w:lvlText w:val="%1."/>
      <w:lvlJc w:val="left"/>
      <w:pPr>
        <w:ind w:left="360" w:hanging="360"/>
      </w:pPr>
      <w:rPr>
        <w:rFonts w:eastAsiaTheme="minorEastAsia"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6B072D34"/>
    <w:multiLevelType w:val="hybridMultilevel"/>
    <w:tmpl w:val="C03A2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2"/>
  </w:num>
  <w:num w:numId="5">
    <w:abstractNumId w:val="7"/>
  </w:num>
  <w:num w:numId="6">
    <w:abstractNumId w:val="3"/>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1B1"/>
    <w:rsid w:val="00083781"/>
    <w:rsid w:val="000A2E18"/>
    <w:rsid w:val="000A353D"/>
    <w:rsid w:val="000F5DA7"/>
    <w:rsid w:val="001002A0"/>
    <w:rsid w:val="0010486C"/>
    <w:rsid w:val="00110CA7"/>
    <w:rsid w:val="0012301E"/>
    <w:rsid w:val="00141865"/>
    <w:rsid w:val="00153187"/>
    <w:rsid w:val="001F22E5"/>
    <w:rsid w:val="00285EDD"/>
    <w:rsid w:val="002E0299"/>
    <w:rsid w:val="00331F2A"/>
    <w:rsid w:val="00366290"/>
    <w:rsid w:val="003765A3"/>
    <w:rsid w:val="003F39D5"/>
    <w:rsid w:val="004134C7"/>
    <w:rsid w:val="004361B1"/>
    <w:rsid w:val="00492172"/>
    <w:rsid w:val="00493D41"/>
    <w:rsid w:val="004A7363"/>
    <w:rsid w:val="004E3525"/>
    <w:rsid w:val="004E4507"/>
    <w:rsid w:val="00533EC9"/>
    <w:rsid w:val="005B60AA"/>
    <w:rsid w:val="005D3DAA"/>
    <w:rsid w:val="00603893"/>
    <w:rsid w:val="00671DD7"/>
    <w:rsid w:val="006B0F0E"/>
    <w:rsid w:val="007074E5"/>
    <w:rsid w:val="00775D36"/>
    <w:rsid w:val="007B5355"/>
    <w:rsid w:val="008F68D5"/>
    <w:rsid w:val="00AC08BE"/>
    <w:rsid w:val="00B00F9D"/>
    <w:rsid w:val="00BC6D1B"/>
    <w:rsid w:val="00BE5829"/>
    <w:rsid w:val="00C0678C"/>
    <w:rsid w:val="00C365F8"/>
    <w:rsid w:val="00DD157E"/>
    <w:rsid w:val="00DE28B4"/>
    <w:rsid w:val="00E01D4E"/>
    <w:rsid w:val="00E15046"/>
    <w:rsid w:val="00E15B53"/>
    <w:rsid w:val="00E6612A"/>
    <w:rsid w:val="00EA4C85"/>
    <w:rsid w:val="00F42B96"/>
    <w:rsid w:val="00F72B79"/>
    <w:rsid w:val="00FF7C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33D8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361B1"/>
    <w:rPr>
      <w:rFonts w:ascii="Times New Roman" w:eastAsia="Times New Roman" w:hAnsi="Times New Roman" w:cs="Times New Roman"/>
    </w:rPr>
  </w:style>
  <w:style w:type="paragraph" w:styleId="Heading1">
    <w:name w:val="heading 1"/>
    <w:next w:val="BodyText"/>
    <w:link w:val="Heading1Char"/>
    <w:uiPriority w:val="9"/>
    <w:qFormat/>
    <w:rsid w:val="004361B1"/>
    <w:pPr>
      <w:keepNext/>
      <w:keepLines/>
      <w:pageBreakBefore/>
      <w:pBdr>
        <w:top w:val="single" w:sz="4" w:space="1" w:color="00408E"/>
        <w:bottom w:val="single" w:sz="4" w:space="1" w:color="00408E"/>
      </w:pBdr>
      <w:spacing w:after="200" w:line="276" w:lineRule="auto"/>
      <w:outlineLvl w:val="0"/>
    </w:pPr>
    <w:rPr>
      <w:rFonts w:ascii="Century Gothic" w:eastAsia="Calibri" w:hAnsi="Century Gothic" w:cs="Times New Roman"/>
      <w:b/>
      <w:color w:val="00408E"/>
      <w:sz w:val="28"/>
      <w:szCs w:val="28"/>
    </w:rPr>
  </w:style>
  <w:style w:type="paragraph" w:styleId="Heading2">
    <w:name w:val="heading 2"/>
    <w:basedOn w:val="BodyText"/>
    <w:next w:val="BodyText"/>
    <w:link w:val="Heading2Char"/>
    <w:autoRedefine/>
    <w:uiPriority w:val="9"/>
    <w:unhideWhenUsed/>
    <w:qFormat/>
    <w:rsid w:val="00EA4C85"/>
    <w:pPr>
      <w:keepNext/>
      <w:keepLines/>
      <w:spacing w:after="0" w:line="276" w:lineRule="auto"/>
      <w:ind w:right="547"/>
      <w:outlineLvl w:val="1"/>
    </w:pPr>
    <w:rPr>
      <w:rFonts w:ascii="Century Gothic" w:eastAsia="Calibri" w:hAnsi="Century Gothic"/>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61B1"/>
    <w:rPr>
      <w:rFonts w:ascii="Century Gothic" w:eastAsia="Calibri" w:hAnsi="Century Gothic" w:cs="Times New Roman"/>
      <w:b/>
      <w:color w:val="00408E"/>
      <w:sz w:val="28"/>
      <w:szCs w:val="28"/>
      <w:lang w:val="es-MX"/>
    </w:rPr>
  </w:style>
  <w:style w:type="character" w:customStyle="1" w:styleId="Heading2Char">
    <w:name w:val="Heading 2 Char"/>
    <w:basedOn w:val="DefaultParagraphFont"/>
    <w:link w:val="Heading2"/>
    <w:uiPriority w:val="9"/>
    <w:rsid w:val="00EA4C85"/>
    <w:rPr>
      <w:rFonts w:ascii="Century Gothic" w:eastAsia="Calibri" w:hAnsi="Century Gothic" w:cs="Times New Roman"/>
      <w:b/>
      <w:color w:val="2F5496" w:themeColor="accent1" w:themeShade="BF"/>
      <w:lang w:val="es-MX"/>
    </w:rPr>
  </w:style>
  <w:style w:type="paragraph" w:styleId="Header">
    <w:name w:val="header"/>
    <w:basedOn w:val="Normal"/>
    <w:link w:val="HeaderChar"/>
    <w:uiPriority w:val="99"/>
    <w:unhideWhenUsed/>
    <w:rsid w:val="004361B1"/>
    <w:pPr>
      <w:tabs>
        <w:tab w:val="center" w:pos="4320"/>
        <w:tab w:val="right" w:pos="8640"/>
      </w:tabs>
    </w:pPr>
    <w:rPr>
      <w:rFonts w:asciiTheme="minorHAnsi" w:eastAsiaTheme="minorEastAsia" w:hAnsiTheme="minorHAnsi" w:cstheme="minorBidi"/>
    </w:rPr>
  </w:style>
  <w:style w:type="character" w:customStyle="1" w:styleId="HeaderChar">
    <w:name w:val="Header Char"/>
    <w:basedOn w:val="DefaultParagraphFont"/>
    <w:link w:val="Header"/>
    <w:uiPriority w:val="99"/>
    <w:rsid w:val="004361B1"/>
    <w:rPr>
      <w:rFonts w:eastAsiaTheme="minorEastAsia"/>
    </w:rPr>
  </w:style>
  <w:style w:type="paragraph" w:styleId="Footer">
    <w:name w:val="footer"/>
    <w:basedOn w:val="Normal"/>
    <w:link w:val="FooterChar"/>
    <w:uiPriority w:val="99"/>
    <w:unhideWhenUsed/>
    <w:rsid w:val="004361B1"/>
    <w:pPr>
      <w:tabs>
        <w:tab w:val="center" w:pos="4536"/>
        <w:tab w:val="right" w:pos="9072"/>
      </w:tabs>
    </w:pPr>
    <w:rPr>
      <w:rFonts w:asciiTheme="minorHAnsi" w:eastAsiaTheme="minorEastAsia" w:hAnsiTheme="minorHAnsi" w:cstheme="minorBidi"/>
    </w:rPr>
  </w:style>
  <w:style w:type="character" w:customStyle="1" w:styleId="FooterChar">
    <w:name w:val="Footer Char"/>
    <w:basedOn w:val="DefaultParagraphFont"/>
    <w:link w:val="Footer"/>
    <w:uiPriority w:val="99"/>
    <w:rsid w:val="004361B1"/>
    <w:rPr>
      <w:rFonts w:eastAsiaTheme="minorEastAsia"/>
    </w:rPr>
  </w:style>
  <w:style w:type="character" w:styleId="PageNumber">
    <w:name w:val="page number"/>
    <w:basedOn w:val="DefaultParagraphFont"/>
    <w:uiPriority w:val="99"/>
    <w:semiHidden/>
    <w:unhideWhenUsed/>
    <w:rsid w:val="004361B1"/>
  </w:style>
  <w:style w:type="paragraph" w:styleId="BodyText">
    <w:name w:val="Body Text"/>
    <w:basedOn w:val="Normal"/>
    <w:link w:val="BodyTextChar"/>
    <w:uiPriority w:val="99"/>
    <w:unhideWhenUsed/>
    <w:rsid w:val="004361B1"/>
    <w:pPr>
      <w:spacing w:after="120"/>
    </w:pPr>
  </w:style>
  <w:style w:type="character" w:customStyle="1" w:styleId="BodyTextChar">
    <w:name w:val="Body Text Char"/>
    <w:basedOn w:val="DefaultParagraphFont"/>
    <w:link w:val="BodyText"/>
    <w:uiPriority w:val="99"/>
    <w:rsid w:val="004361B1"/>
    <w:rPr>
      <w:rFonts w:ascii="Times New Roman" w:eastAsia="Times New Roman" w:hAnsi="Times New Roman" w:cs="Times New Roman"/>
    </w:rPr>
  </w:style>
  <w:style w:type="paragraph" w:styleId="ListParagraph">
    <w:name w:val="List Paragraph"/>
    <w:basedOn w:val="Normal"/>
    <w:uiPriority w:val="34"/>
    <w:qFormat/>
    <w:rsid w:val="004361B1"/>
    <w:pPr>
      <w:ind w:left="720"/>
      <w:contextualSpacing/>
    </w:pPr>
  </w:style>
  <w:style w:type="character" w:styleId="Hyperlink">
    <w:name w:val="Hyperlink"/>
    <w:basedOn w:val="DefaultParagraphFont"/>
    <w:uiPriority w:val="99"/>
    <w:unhideWhenUsed/>
    <w:rsid w:val="004361B1"/>
    <w:rPr>
      <w:color w:val="0563C1" w:themeColor="hyperlink"/>
      <w:u w:val="single"/>
    </w:rPr>
  </w:style>
  <w:style w:type="paragraph" w:styleId="NormalWeb">
    <w:name w:val="Normal (Web)"/>
    <w:basedOn w:val="Normal"/>
    <w:uiPriority w:val="99"/>
    <w:semiHidden/>
    <w:unhideWhenUsed/>
    <w:rsid w:val="004361B1"/>
    <w:pPr>
      <w:spacing w:before="100" w:beforeAutospacing="1" w:after="100" w:afterAutospacing="1"/>
    </w:pPr>
  </w:style>
  <w:style w:type="character" w:styleId="Strong">
    <w:name w:val="Strong"/>
    <w:basedOn w:val="DefaultParagraphFont"/>
    <w:uiPriority w:val="22"/>
    <w:qFormat/>
    <w:rsid w:val="004361B1"/>
    <w:rPr>
      <w:b/>
      <w:bCs/>
    </w:rPr>
  </w:style>
  <w:style w:type="character" w:styleId="FollowedHyperlink">
    <w:name w:val="FollowedHyperlink"/>
    <w:basedOn w:val="DefaultParagraphFont"/>
    <w:uiPriority w:val="99"/>
    <w:semiHidden/>
    <w:unhideWhenUsed/>
    <w:rsid w:val="008F68D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580395">
      <w:bodyDiv w:val="1"/>
      <w:marLeft w:val="0"/>
      <w:marRight w:val="0"/>
      <w:marTop w:val="0"/>
      <w:marBottom w:val="0"/>
      <w:divBdr>
        <w:top w:val="none" w:sz="0" w:space="0" w:color="auto"/>
        <w:left w:val="none" w:sz="0" w:space="0" w:color="auto"/>
        <w:bottom w:val="none" w:sz="0" w:space="0" w:color="auto"/>
        <w:right w:val="none" w:sz="0" w:space="0" w:color="auto"/>
      </w:divBdr>
    </w:div>
    <w:div w:id="104034657">
      <w:bodyDiv w:val="1"/>
      <w:marLeft w:val="0"/>
      <w:marRight w:val="0"/>
      <w:marTop w:val="0"/>
      <w:marBottom w:val="0"/>
      <w:divBdr>
        <w:top w:val="none" w:sz="0" w:space="0" w:color="auto"/>
        <w:left w:val="none" w:sz="0" w:space="0" w:color="auto"/>
        <w:bottom w:val="none" w:sz="0" w:space="0" w:color="auto"/>
        <w:right w:val="none" w:sz="0" w:space="0" w:color="auto"/>
      </w:divBdr>
    </w:div>
    <w:div w:id="285741320">
      <w:bodyDiv w:val="1"/>
      <w:marLeft w:val="0"/>
      <w:marRight w:val="0"/>
      <w:marTop w:val="0"/>
      <w:marBottom w:val="0"/>
      <w:divBdr>
        <w:top w:val="none" w:sz="0" w:space="0" w:color="auto"/>
        <w:left w:val="none" w:sz="0" w:space="0" w:color="auto"/>
        <w:bottom w:val="none" w:sz="0" w:space="0" w:color="auto"/>
        <w:right w:val="none" w:sz="0" w:space="0" w:color="auto"/>
      </w:divBdr>
    </w:div>
    <w:div w:id="676344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ann.org/resources/reviews/specific-reviews/atrt" TargetMode="External"/><Relationship Id="rId13" Type="http://schemas.openxmlformats.org/officeDocument/2006/relationships/hyperlink" Target="http://www.icann.org/en/committees/board-gac-2009/board-gac-jwg-final-report-19jun11-en.pdf"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icann.org/resources/pages/board-gac-2011-2012-02-28-en" TargetMode="External"/><Relationship Id="rId12" Type="http://schemas.openxmlformats.org/officeDocument/2006/relationships/hyperlink" Target="http://www.icann.org/en/committees/board-gac-2009/board-gac-jwg-final-report-19jun11-en.pdf"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cann.org/en/reviews/affirmation/atrt-final-recommendations-31dec10-en.pdf"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community.icann.org/display/atrt/ATRT2+Implementation+Progra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icann.org/resources/reviews/specific-reviews/atrt" TargetMode="External"/><Relationship Id="rId14" Type="http://schemas.openxmlformats.org/officeDocument/2006/relationships/hyperlink" Target="https://www.icann.org/resources/accountabilit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669</Words>
  <Characters>3814</Characters>
  <Application>Microsoft Office Word</Application>
  <DocSecurity>0</DocSecurity>
  <Lines>31</Lines>
  <Paragraphs>8</Paragraphs>
  <ScaleCrop>false</ScaleCrop>
  <HeadingPairs>
    <vt:vector size="4" baseType="variant">
      <vt:variant>
        <vt:lpstr>Title</vt:lpstr>
      </vt:variant>
      <vt:variant>
        <vt:i4>1</vt:i4>
      </vt:variant>
      <vt:variant>
        <vt:lpstr>Headings</vt:lpstr>
      </vt:variant>
      <vt:variant>
        <vt:i4>9</vt:i4>
      </vt:variant>
    </vt:vector>
  </HeadingPairs>
  <TitlesOfParts>
    <vt:vector size="10" baseType="lpstr">
      <vt:lpstr/>
      <vt:lpstr>Agenda Item XX.   Board-GAC Review Implementation (BGRI) Working Group</vt:lpstr>
      <vt:lpstr>    Issue:</vt:lpstr>
      <vt:lpstr>    Efforts to improve the processing and tracking of GAC advice have been an unde</vt:lpstr>
      <vt:lpstr>    GAC Action Required:</vt:lpstr>
      <vt:lpstr>    Current Position:</vt:lpstr>
      <vt:lpstr>    Further Background Information/Details:</vt:lpstr>
      <vt:lpstr>    The Board-GAC Recommendations Implementation Working Group (BGRI-WG) (https://ww</vt:lpstr>
      <vt:lpstr>    </vt:lpstr>
      <vt:lpstr>    Document Administration</vt:lpstr>
    </vt:vector>
  </TitlesOfParts>
  <Company/>
  <LinksUpToDate>false</LinksUpToDate>
  <CharactersWithSpaces>4475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Charvolen</dc:creator>
  <cp:keywords/>
  <dc:description/>
  <cp:lastModifiedBy>LS Pros</cp:lastModifiedBy>
  <cp:revision>6</cp:revision>
  <dcterms:created xsi:type="dcterms:W3CDTF">2018-06-06T02:37:00Z</dcterms:created>
  <dcterms:modified xsi:type="dcterms:W3CDTF">2018-06-19T15:41:00Z</dcterms:modified>
</cp:coreProperties>
</file>